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50C13" w14:textId="77777777" w:rsidR="00171652" w:rsidRPr="00CE74AE" w:rsidRDefault="00171652" w:rsidP="00171652">
      <w:pPr>
        <w:keepNext/>
        <w:keepLines/>
        <w:numPr>
          <w:ilvl w:val="0"/>
          <w:numId w:val="5"/>
        </w:numPr>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ПРЕДМЕТ НА ДОГОВОРА</w:t>
      </w:r>
    </w:p>
    <w:p w14:paraId="429D139D" w14:textId="77777777" w:rsidR="00171652" w:rsidRPr="00CE74AE" w:rsidRDefault="00171652" w:rsidP="00171652">
      <w:pPr>
        <w:keepNext/>
        <w:keepLines/>
        <w:suppressAutoHyphens/>
        <w:spacing w:after="0" w:line="240" w:lineRule="auto"/>
        <w:contextualSpacing/>
        <w:jc w:val="both"/>
        <w:rPr>
          <w:rFonts w:ascii="Times New Roman" w:eastAsia="Calibri" w:hAnsi="Times New Roman"/>
          <w:color w:val="000000"/>
        </w:rPr>
      </w:pPr>
      <w:r w:rsidRPr="00CE74AE">
        <w:rPr>
          <w:rFonts w:ascii="Times New Roman" w:eastAsia="Calibri" w:hAnsi="Times New Roman"/>
          <w:color w:val="000000"/>
        </w:rPr>
        <w:t xml:space="preserve">Предмет на договора е </w:t>
      </w:r>
      <w:r w:rsidRPr="00CE74AE">
        <w:rPr>
          <w:rFonts w:ascii="Times New Roman" w:eastAsia="Calibri" w:hAnsi="Times New Roman"/>
        </w:rPr>
        <w:t>Извънгаранционно сервизно обслужване на система за микровълново разлагане MARS</w:t>
      </w:r>
      <w:r w:rsidRPr="00CE74AE">
        <w:rPr>
          <w:rFonts w:ascii="Times New Roman" w:eastAsia="Calibri" w:hAnsi="Times New Roman"/>
          <w:lang w:val="en-US"/>
        </w:rPr>
        <w:t>. CeM Corporation</w:t>
      </w:r>
      <w:r w:rsidRPr="00CE74AE">
        <w:rPr>
          <w:rFonts w:ascii="Times New Roman" w:eastAsia="Calibri" w:hAnsi="Times New Roman"/>
          <w:color w:val="000000"/>
        </w:rPr>
        <w:t>, описани в Таблица-Срокове №2 и Ценова таблица №2, което да включва извършване на профилактичен преглед, настройка, ремонт и доставка на резервни части и консумативи, при необходимост, съгласно приложените таблици.</w:t>
      </w:r>
    </w:p>
    <w:p w14:paraId="1F06384B" w14:textId="77777777" w:rsidR="00171652" w:rsidRPr="00CE74AE" w:rsidRDefault="00171652" w:rsidP="00171652">
      <w:pPr>
        <w:keepNext/>
        <w:keepLines/>
        <w:numPr>
          <w:ilvl w:val="0"/>
          <w:numId w:val="5"/>
        </w:numPr>
        <w:tabs>
          <w:tab w:val="left" w:pos="426"/>
        </w:tabs>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ИЗИСКВАНИЯ КЪМ СЕРВИЗНОТО ОБСЛУЖВАНЕ НА ЛАБОРАТОРНИТЕ УРЕДИ, ПРЕДМЕТ НА ДОГОВОРА:</w:t>
      </w:r>
    </w:p>
    <w:p w14:paraId="4CAA48F2" w14:textId="77777777" w:rsidR="00171652" w:rsidRPr="00CE74AE" w:rsidRDefault="00171652" w:rsidP="00171652">
      <w:pPr>
        <w:keepNext/>
        <w:keepLines/>
        <w:suppressAutoHyphens/>
        <w:spacing w:after="0" w:line="240" w:lineRule="auto"/>
        <w:contextualSpacing/>
        <w:jc w:val="both"/>
        <w:rPr>
          <w:rFonts w:ascii="Times New Roman" w:eastAsia="Calibri" w:hAnsi="Times New Roman"/>
          <w:color w:val="000000"/>
        </w:rPr>
      </w:pPr>
      <w:r w:rsidRPr="00CE74AE">
        <w:rPr>
          <w:rFonts w:ascii="Times New Roman" w:eastAsia="Calibri" w:hAnsi="Times New Roman"/>
          <w:color w:val="000000"/>
        </w:rPr>
        <w:t>Възложителят възлага, а изпълнителят приема да извършва сервизно обслужване на лабораторни технически средства, съобразно следните изисквания:</w:t>
      </w:r>
    </w:p>
    <w:p w14:paraId="3BBD527E"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Извършване на профилактичен преглед, настройки и ремонт на посоченото в таблиците лабораторно оборудване.</w:t>
      </w:r>
    </w:p>
    <w:p w14:paraId="691278CC"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Профилактичните прегледи и сервизното обслужване на лабораторното оборудване се извършват по заявка/поръчка на Възложителя. Заявката се изпраща по електронна поща.</w:t>
      </w:r>
    </w:p>
    <w:p w14:paraId="04B11FD3"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След всеки профилактичен преглед, настройки и ремонт се изготвя Протокол за извършената работа, анализ на състоянието на апаратурата и описание на резервните части и/или консумативите, които подлежат на смяна, в случай на необходимост. </w:t>
      </w:r>
    </w:p>
    <w:p w14:paraId="1A1EA2D8"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В цената на сервизното обслужване не е включена цената на необходимите резервни части и консумативи.</w:t>
      </w:r>
    </w:p>
    <w:p w14:paraId="2459ECFF"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Осигуряване на консумативи и резервни части - при необходимост.</w:t>
      </w:r>
    </w:p>
    <w:p w14:paraId="28E5B2C7"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Предмет на договора е ценова таблица №1, която включва цената за един сервизен час при обслужване от изпълнителя на лабораторните уреди, предмет на договора.</w:t>
      </w:r>
    </w:p>
    <w:p w14:paraId="0F08425B"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Предмет на договора са стоките от Ценова таблица №2 от Приложение 3 Ценово предложение, съдържащи резервните части и консумативи, необходими за работата на лабораторните уреди предмет на договора. </w:t>
      </w:r>
    </w:p>
    <w:p w14:paraId="4AE64A2A"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В случай че в срока на договора бъде преустановено производството на стока по ценова таблица №2, предмет на договора, и същевременно тази стока престане да бъде предлагана на пазара, съответната стока се заменя със стока с еквивалентни или по-добри характеристики, отговаряща на изискванията на Договора и предварително одобрена от Контролиращия служител, с цена не по-висока от цената на Стоката, отпаднала от производство. </w:t>
      </w:r>
    </w:p>
    <w:p w14:paraId="7FB8146E"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В случаите по предходната точка изпълнителят уведомява писмено контролиращия служител за отпадналата от производство и непредлагана на пазара стока, като прилага съответните писмени доказателства за това, и представя на контролиращия служител за одобрение писмено предложение за замяна със стока с еквиваленти или по-добри характеристики. </w:t>
      </w:r>
    </w:p>
    <w:p w14:paraId="53F4C4BC"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За всички възникнали нужди от Стоки, невключени в Ценова таблица №2, които са сходни с предмета на договора, Възложителят си запазва правото да ги поръчва на Изпълнителя, като изисква от него оферта, която се съгласува с контролиращия служител по договора. Възложителят има право да поръча Стоки на стойност до 10 % от максималната стойност на договора.</w:t>
      </w:r>
    </w:p>
    <w:p w14:paraId="702C350A"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Максималният срок за доставка не може да надвишава 20 работни дни, считано от датата на изпращане на поръчка от страна на възложителя. </w:t>
      </w:r>
    </w:p>
    <w:p w14:paraId="6AFBAB2E"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Изпълнителят доставя и влага нови оригинални резервни части или еквивалентни, съобразно предложението му в ценова таблици №2.</w:t>
      </w:r>
    </w:p>
    <w:p w14:paraId="53E2E8F0" w14:textId="77777777" w:rsidR="00171652" w:rsidRPr="00CE74AE" w:rsidRDefault="00171652" w:rsidP="00171652">
      <w:pPr>
        <w:keepNext/>
        <w:keepLines/>
        <w:suppressAutoHyphens/>
        <w:spacing w:after="0" w:line="240" w:lineRule="auto"/>
        <w:contextualSpacing/>
        <w:jc w:val="both"/>
        <w:rPr>
          <w:rFonts w:ascii="Times New Roman" w:eastAsia="Calibri" w:hAnsi="Times New Roman"/>
          <w:color w:val="000000"/>
        </w:rPr>
      </w:pPr>
      <w:r w:rsidRPr="003D7C9B">
        <w:rPr>
          <w:rFonts w:ascii="Times New Roman" w:eastAsia="Calibri" w:hAnsi="Times New Roman"/>
          <w:b/>
          <w:bCs/>
          <w:color w:val="000000"/>
        </w:rPr>
        <w:t>2.12.1.</w:t>
      </w:r>
      <w:r w:rsidRPr="00CE74AE">
        <w:rPr>
          <w:rFonts w:ascii="Times New Roman" w:eastAsia="Calibri" w:hAnsi="Times New Roman"/>
          <w:color w:val="000000"/>
        </w:rPr>
        <w:tab/>
        <w:t>Оригинални резервни части и консумативи са тези, които са произведени от производителя на лабораторния уред.</w:t>
      </w:r>
    </w:p>
    <w:p w14:paraId="430F2850" w14:textId="77777777" w:rsidR="00171652" w:rsidRPr="00CE74AE" w:rsidRDefault="00171652" w:rsidP="00171652">
      <w:pPr>
        <w:keepNext/>
        <w:keepLines/>
        <w:suppressAutoHyphens/>
        <w:spacing w:after="0" w:line="240" w:lineRule="auto"/>
        <w:contextualSpacing/>
        <w:jc w:val="both"/>
        <w:rPr>
          <w:rFonts w:ascii="Times New Roman" w:eastAsia="Calibri" w:hAnsi="Times New Roman"/>
          <w:color w:val="000000"/>
        </w:rPr>
      </w:pPr>
      <w:r w:rsidRPr="003D7C9B">
        <w:rPr>
          <w:rFonts w:ascii="Times New Roman" w:eastAsia="Calibri" w:hAnsi="Times New Roman"/>
          <w:b/>
          <w:bCs/>
          <w:color w:val="000000"/>
        </w:rPr>
        <w:t>2.12.2.</w:t>
      </w:r>
      <w:r w:rsidRPr="00CE74AE">
        <w:rPr>
          <w:rFonts w:ascii="Times New Roman" w:eastAsia="Calibri" w:hAnsi="Times New Roman"/>
          <w:color w:val="000000"/>
        </w:rPr>
        <w:tab/>
        <w:t>Еквивалентни резервни части и консумативи са тези, които напълно съответстват на работните характеристики и присъединителните размери на съответните лабораторни уреди. Това са стоки на друг производител, имащи същите технически спецификации и параметри посочени в колона „Описание на консумативите/резервните части“ от Таблица-срокове №2 и Ценова таблица №2, които да са приложими към съответния лабораторен уред, като при влагането им в употреба да не води до допълнителни разходи за възложителя.</w:t>
      </w:r>
    </w:p>
    <w:p w14:paraId="378A58D5"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Възложителят трябва да осигури нормални условия за работа на специалистите на изпълнителя на територията на възложителя.</w:t>
      </w:r>
    </w:p>
    <w:p w14:paraId="517EC011"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Възложителят трябва да спазва инструкциите за работа с прибора дадени от производителя, както и препоръките за правилна експлоатация дадени от изпълнителя.</w:t>
      </w:r>
    </w:p>
    <w:p w14:paraId="069B1A1B"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lastRenderedPageBreak/>
        <w:t>Изпълнителят доставя поръчаните резервни части и консумативи, предмет на договора, съгласно цените и други изисквания уговорени в Договора.</w:t>
      </w:r>
    </w:p>
    <w:p w14:paraId="07452DB1"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На изпълнителя не са гарантирани количества на поръчваните резервни части и консумативи, предмет на договора и продължителност на дейностите. Възложителят ще поръчва стоките и услугите, предмет на договора, съгласно текущите необходимости за лабораторните прибори, предмет на договора.</w:t>
      </w:r>
    </w:p>
    <w:p w14:paraId="03F69567"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Обменът на информация се извършва чрез пощенска или друга куриерска услуга с препоръчана пратка с обратна разписка, по електронна поща с електронен подпис съгласно изискванията на Закона за електронния документ и електронния подпис или чрез комбинация от тези средства. </w:t>
      </w:r>
    </w:p>
    <w:p w14:paraId="25CE4971" w14:textId="77777777" w:rsidR="00171652" w:rsidRPr="00CE74AE" w:rsidRDefault="00171652" w:rsidP="00171652">
      <w:pPr>
        <w:keepNext/>
        <w:keepLines/>
        <w:numPr>
          <w:ilvl w:val="1"/>
          <w:numId w:val="5"/>
        </w:numPr>
        <w:tabs>
          <w:tab w:val="left" w:pos="426"/>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Лабораторните уреди, предмет на договора, се сервизират по местата, на които са разположени в обектите на Възложителя. Местоположението им е посочено в таблица-срокове №2 от този раздел. В случай че се наложи сервизното обслужване да се извърши в бази на изпълнителя, уредът му се предава с двустранно подписан приемо-предавателен протокол, в който са описани вид, модел и сериен номер на уреда, дата на предаване, описание на повредата и състоянието на уреда.</w:t>
      </w:r>
    </w:p>
    <w:p w14:paraId="75E4304A" w14:textId="77777777" w:rsidR="00171652" w:rsidRPr="00CE74AE" w:rsidRDefault="00171652" w:rsidP="00171652">
      <w:pPr>
        <w:keepNext/>
        <w:keepLines/>
        <w:numPr>
          <w:ilvl w:val="0"/>
          <w:numId w:val="5"/>
        </w:numPr>
        <w:tabs>
          <w:tab w:val="left" w:pos="426"/>
        </w:tabs>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 xml:space="preserve">МЕСТОПОЛОЖЕНИЕ НА ЛАБОРАТОРНАТА АПАРАТУРА, ПРЕДМЕТ НА ДОГОВОРА </w:t>
      </w:r>
    </w:p>
    <w:p w14:paraId="4E1D8895"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Лабораторните уреди, които подлежат на обслужване от изпълнителя съобразно договора, притежавани от възложителя, се намират на територията на гр. София и са посочени в Таблица-срокове №2 от този раздел на адреси:</w:t>
      </w:r>
    </w:p>
    <w:p w14:paraId="5E0DA627"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42193F">
        <w:rPr>
          <w:rFonts w:ascii="Times New Roman" w:eastAsia="Calibri" w:hAnsi="Times New Roman"/>
          <w:color w:val="000000" w:themeColor="text1"/>
        </w:rPr>
        <w:t xml:space="preserve">ЛИК Отпадъчни води при СПСОВ Кубратово, </w:t>
      </w:r>
      <w:r w:rsidRPr="00CE74AE">
        <w:rPr>
          <w:rFonts w:ascii="Times New Roman" w:eastAsia="Calibri" w:hAnsi="Times New Roman"/>
          <w:color w:val="000000"/>
        </w:rPr>
        <w:t>кв. „Бенковски“,  административна сграда.</w:t>
      </w:r>
    </w:p>
    <w:p w14:paraId="4CAC00D5" w14:textId="103561F9"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ЛИК</w:t>
      </w:r>
      <w:r>
        <w:rPr>
          <w:rFonts w:ascii="Times New Roman" w:eastAsia="Calibri" w:hAnsi="Times New Roman"/>
          <w:color w:val="000000"/>
        </w:rPr>
        <w:t xml:space="preserve"> </w:t>
      </w:r>
      <w:r w:rsidRPr="00CE74AE">
        <w:rPr>
          <w:rFonts w:ascii="Times New Roman" w:eastAsia="Calibri" w:hAnsi="Times New Roman"/>
          <w:color w:val="000000"/>
        </w:rPr>
        <w:t>Питейни води, кв. „Бункера“, ул. „Хотнишки водопад“ №2, ПСПВ „Бистрица“, административна сграда, етаж 3</w:t>
      </w:r>
      <w:r>
        <w:rPr>
          <w:rFonts w:ascii="Times New Roman" w:eastAsia="Calibri" w:hAnsi="Times New Roman"/>
          <w:color w:val="000000"/>
          <w:lang w:val="en-US"/>
        </w:rPr>
        <w:t>-</w:t>
      </w:r>
      <w:r w:rsidRPr="00CE74AE">
        <w:rPr>
          <w:rFonts w:ascii="Times New Roman" w:eastAsia="Calibri" w:hAnsi="Times New Roman"/>
          <w:color w:val="000000"/>
        </w:rPr>
        <w:t xml:space="preserve">обект санитарно-охранителна зона със стратегическо значение. </w:t>
      </w:r>
    </w:p>
    <w:p w14:paraId="7DA8BCF9" w14:textId="77777777" w:rsidR="00171652" w:rsidRPr="00CE74AE" w:rsidRDefault="00171652" w:rsidP="00171652">
      <w:pPr>
        <w:keepNext/>
        <w:keepLines/>
        <w:numPr>
          <w:ilvl w:val="0"/>
          <w:numId w:val="5"/>
        </w:numPr>
        <w:tabs>
          <w:tab w:val="left" w:pos="426"/>
        </w:tabs>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СРОКОВЕ</w:t>
      </w:r>
    </w:p>
    <w:p w14:paraId="4D66953E"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Максималният срок за реакция от страна на изпълнителя е до 24 (двадесет и четири) часа след писмено възлагане по електронна поща от страна на Възложителя. Срокът за реакция е срокът, в който изпълнителят се свързва с контролиращия служител от страна на възложителя, запознава се с причината за постъпилото възлагане и започва да работи по отстраняване на проблема.</w:t>
      </w:r>
    </w:p>
    <w:p w14:paraId="73783DDE" w14:textId="73785819"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В случай</w:t>
      </w:r>
      <w:r w:rsidR="00881229">
        <w:rPr>
          <w:rFonts w:ascii="Times New Roman" w:eastAsia="Calibri" w:hAnsi="Times New Roman"/>
          <w:color w:val="000000"/>
        </w:rPr>
        <w:t>,</w:t>
      </w:r>
      <w:r w:rsidRPr="00CE74AE">
        <w:rPr>
          <w:rFonts w:ascii="Times New Roman" w:eastAsia="Calibri" w:hAnsi="Times New Roman"/>
          <w:color w:val="000000"/>
        </w:rPr>
        <w:t xml:space="preserve"> че проблемът изисква посещение на място от сервизен инженер, изпълнителят се задължава в срок до 2 (два) работни дни след изтичане на срока по предходната точка да осигури посещение от сервизен инженер. Решението за посещение на място при Възложителя се взема по взаимно съгласие на страните по договора в писмен вид, чрез изпращане на електронно писмо.</w:t>
      </w:r>
    </w:p>
    <w:p w14:paraId="66EA5F63"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Максималният срок, в който изпълнителят възстановява функционалната годност на даден уред започва да тече след изтичане на посочените в предишните две точки срокове. Максималният срок за възстановяване на функционалната годност на даден уред включва:</w:t>
      </w:r>
    </w:p>
    <w:p w14:paraId="485A4EFA"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До 5 (пет) работни дни за осъществяване на сервизна дейност по отстраняване на повреди, когато не се изисква доставка на резервни части и консумативи;</w:t>
      </w:r>
    </w:p>
    <w:p w14:paraId="4B94A9E2"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При необходимост от доставка на консумативи и резервни части, срокът по предходната точка започва да тече, считано от датата на доставката им. </w:t>
      </w:r>
    </w:p>
    <w:p w14:paraId="21460D82"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Срокът за доставка на необходимите резервни части и консумативи е съгласно сроковете, посочени в Таблица-срокове №2.</w:t>
      </w:r>
    </w:p>
    <w:p w14:paraId="1780F5DE"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След всяка проверка или сервизна дейност изпълнителят попълва Протокол, удостоверяващ извършването на дейността. Протоколът се подписва двустранно.</w:t>
      </w:r>
    </w:p>
    <w:p w14:paraId="4964FD9F"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Резервните части и консумативите се изписват по препоръка на изпълнителя и/или по преценка на възложителя, като се доставят от изпълнителя при заявено писмено искане/поръчка по електронна поща от страна на възложителя.  </w:t>
      </w:r>
    </w:p>
    <w:p w14:paraId="42628A8A"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Изпълнителят доставя поръчаните резервни части и консумативи по предходната точка в срок съобразно посочения в таблица-срокове №2 от Приложение 1 – техническа спецификация. Срокът за доставка започва да тече, считано от датата на поръчката.</w:t>
      </w:r>
    </w:p>
    <w:p w14:paraId="59699870"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Изпълнителят доставя и влага резервни части и консумативи с валиден гаранционен срок, съобразно предложението му в таблица-срокове №2 от този раздел. Гаранционният срок започва да тече, считано от датата на получаване на резервните части/консумативи. </w:t>
      </w:r>
    </w:p>
    <w:p w14:paraId="4309E564"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lastRenderedPageBreak/>
        <w:t>При възникването на необходимост от стоки, невключени в Ценова таблица №2, които са сходни с предмета на договора, възложителят изисква от изпълнителя оферта, която се съгласува с контролиращия служител по договора от страна на възложителя. Офертата следва да съдържа: производител, описание на техническите характеристики на стоките (резервни части и консумативи), срок за доставка в работни дни, гаранционен срок и срок на годност (в случай, че е приложимо), при запазване условията на договора.</w:t>
      </w:r>
    </w:p>
    <w:p w14:paraId="6DB20BF6"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При заявяването на стоки по горната точка, възложителят изпраща писмено искане/поръчка по електронна поща. Срокът за доставка започва да тече, считано от датата на поръчката.</w:t>
      </w:r>
    </w:p>
    <w:p w14:paraId="6281C604" w14:textId="77777777" w:rsidR="00171652" w:rsidRPr="00CE74AE" w:rsidRDefault="00171652" w:rsidP="00171652">
      <w:pPr>
        <w:keepNext/>
        <w:keepLines/>
        <w:numPr>
          <w:ilvl w:val="1"/>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В случай че подменена от изпълнителя стока дефектира поради производствен дефект в рамките на гаранционния й срок (в случай, че е предложен), изпълнителят се задължава за своя сметка, да ремонтира съответния уред и да подмени дефектиралата стока, както и да отстрани всякакви повреди в уреда, настъпили в резултат на дефектирането на стоката във възможно най-кратък срок, договорен между страните.</w:t>
      </w:r>
    </w:p>
    <w:p w14:paraId="279665CA" w14:textId="77777777" w:rsidR="00171652" w:rsidRPr="00CE74AE" w:rsidRDefault="00171652" w:rsidP="00171652">
      <w:pPr>
        <w:keepNext/>
        <w:keepLines/>
        <w:numPr>
          <w:ilvl w:val="1"/>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Изпълнителят доставя консумативите с валиден минимален  остатъчен срок на годност, който трябва да бъде не по-малък от 2/3 от целия срок на годност, съобразно предложението му в таблица-срокове №2 от този раздел. Срокът за годност на консумативите стартира, считано от датата на доставянето им. Към датата на доставяне на консуматива минималният остатъчен срок на годност трябва да бъде не по-малък от 2/3 от целия срок на годност.</w:t>
      </w:r>
    </w:p>
    <w:p w14:paraId="4FCBC428" w14:textId="77777777" w:rsidR="00171652" w:rsidRPr="00CE74AE" w:rsidRDefault="00171652" w:rsidP="00171652">
      <w:pPr>
        <w:keepNext/>
        <w:keepLines/>
        <w:numPr>
          <w:ilvl w:val="1"/>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Доставените консумативи подлежат на рекламация при наличие на дефекти, които не са по вина на възложителя, в срок до 30 (тридесет) дни след инсталирането влагането им и пускане в употреба. Възложителят записва в съответните формуляри, част от системата му за управление, датата на въвеждане в експлоатация на консуматива. Възложителят описва подробно констатираните дефекти и изпраща информацията по електронна поща към изпълнителя. Изпълнителят се запознава с констатациите на възложителя и предприема оглед на място, в случай че е необходимо. В случай че предявяванията на възложителя са основателни, изпълнителят подменя съответните консумативи за своя сметка във възможно най-кратък срок, договорен между страните след писменото уведомяване за констатираните дефекти от възложителя.</w:t>
      </w:r>
    </w:p>
    <w:p w14:paraId="57312133" w14:textId="77777777" w:rsidR="00171652" w:rsidRPr="00CE74AE" w:rsidRDefault="00171652" w:rsidP="00171652">
      <w:pPr>
        <w:keepNext/>
        <w:keepLines/>
        <w:numPr>
          <w:ilvl w:val="1"/>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Гаранционният срок на изпълнените сервизни дейности по договора е не по-малко от 30 (тридесет) календарни дни, считано от датата на двустранно подписан протокол за извършената сервизна дейност, освен ако изпълнителят не е оферирал по-дълъг срок в Таблица-срокове №1 в хода на процедурата. Гаранцията на сервизните дейности важи при правилна експлоатация от страна на възложителя в съответствие с препоръките и изискванията на производителя на прибора. </w:t>
      </w:r>
    </w:p>
    <w:p w14:paraId="12D3863C" w14:textId="77777777" w:rsidR="00171652" w:rsidRPr="00CE74AE" w:rsidRDefault="00171652" w:rsidP="00171652">
      <w:pPr>
        <w:keepNext/>
        <w:keepLines/>
        <w:numPr>
          <w:ilvl w:val="2"/>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Гаранцията на изпълнените сервизни дейности включва отстраняване на повредите по вече извършените услуги в срок до 10 (десет) работни дни, считано от писменото уведомяване от страна на възложителя. В този случай, трудът и транспортните разходи при отстраняването на повредите са за сметка на изпълнителя, както и повторната подмяна на вложена резервна част или консуматив, при условие, че са доставени и вложени с фабричен дефект.</w:t>
      </w:r>
    </w:p>
    <w:p w14:paraId="57D16411" w14:textId="77777777" w:rsidR="00171652" w:rsidRPr="00CE74AE" w:rsidRDefault="00171652" w:rsidP="00171652">
      <w:pPr>
        <w:keepNext/>
        <w:keepLines/>
        <w:numPr>
          <w:ilvl w:val="2"/>
          <w:numId w:val="5"/>
        </w:numPr>
        <w:tabs>
          <w:tab w:val="left" w:pos="851"/>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Гаранцията на услугата не покрива стойността на необходимите допълнителни резервни части и консумативи, различни от вложените, които са за сметка на възложителя.</w:t>
      </w:r>
    </w:p>
    <w:p w14:paraId="16F8C9D4" w14:textId="77777777" w:rsidR="00171652" w:rsidRPr="00CE74AE" w:rsidRDefault="00171652" w:rsidP="00171652">
      <w:pPr>
        <w:keepNext/>
        <w:keepLines/>
        <w:numPr>
          <w:ilvl w:val="0"/>
          <w:numId w:val="5"/>
        </w:numPr>
        <w:tabs>
          <w:tab w:val="left" w:pos="426"/>
        </w:tabs>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СЕРТИФИКАТИ</w:t>
      </w:r>
    </w:p>
    <w:p w14:paraId="616381D6"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През целия срок на договора, Изпълнителят трябва да разполага с валиден сертификат за внедрена система за управление на качеството в съответствие с изискванията на EN ISO 9001:2015 </w:t>
      </w:r>
      <w:r w:rsidRPr="003D7C9B">
        <w:rPr>
          <w:rFonts w:ascii="Times New Roman" w:eastAsia="Calibri" w:hAnsi="Times New Roman"/>
          <w:color w:val="000000"/>
          <w:lang w:val="en-US"/>
        </w:rPr>
        <w:t>(</w:t>
      </w:r>
      <w:r w:rsidRPr="003D7C9B">
        <w:rPr>
          <w:rFonts w:ascii="Times New Roman" w:eastAsia="Calibri" w:hAnsi="Times New Roman"/>
          <w:color w:val="000000"/>
        </w:rPr>
        <w:t>или по-нова актуална версия</w:t>
      </w:r>
      <w:r w:rsidRPr="003D7C9B">
        <w:rPr>
          <w:rFonts w:ascii="Times New Roman" w:eastAsia="Calibri" w:hAnsi="Times New Roman"/>
          <w:color w:val="000000"/>
          <w:lang w:val="en-US"/>
        </w:rPr>
        <w:t>)</w:t>
      </w:r>
      <w:r>
        <w:rPr>
          <w:rFonts w:ascii="Times New Roman" w:eastAsia="Calibri" w:hAnsi="Times New Roman"/>
          <w:color w:val="000000"/>
        </w:rPr>
        <w:t xml:space="preserve"> </w:t>
      </w:r>
      <w:r w:rsidRPr="00CE74AE">
        <w:rPr>
          <w:rFonts w:ascii="Times New Roman" w:eastAsia="Calibri" w:hAnsi="Times New Roman"/>
          <w:color w:val="000000"/>
        </w:rPr>
        <w:t xml:space="preserve">или еквивалент. </w:t>
      </w:r>
    </w:p>
    <w:p w14:paraId="4178D4F2"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В случай че в срока на договора Изпълнителят остане без валиден сертификат, то той е длъжен до 3 (три) работни дни, считано от датата на събитието, да уведоми Възложителя. </w:t>
      </w:r>
    </w:p>
    <w:p w14:paraId="538E1876"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В случай че след изтичане на срока на валидност на сертификата същият не бъде подновен, Възложителят има право да прекрати едностранно договора. </w:t>
      </w:r>
    </w:p>
    <w:p w14:paraId="0D4D4AD3" w14:textId="77777777" w:rsidR="00171652" w:rsidRPr="00CE74AE" w:rsidRDefault="00171652" w:rsidP="00171652">
      <w:pPr>
        <w:keepNext/>
        <w:keepLines/>
        <w:numPr>
          <w:ilvl w:val="0"/>
          <w:numId w:val="5"/>
        </w:numPr>
        <w:tabs>
          <w:tab w:val="left" w:pos="426"/>
        </w:tabs>
        <w:suppressAutoHyphens/>
        <w:spacing w:after="0" w:line="240" w:lineRule="auto"/>
        <w:ind w:left="0" w:firstLine="0"/>
        <w:contextualSpacing/>
        <w:jc w:val="both"/>
        <w:rPr>
          <w:rFonts w:ascii="Times New Roman" w:eastAsia="Calibri" w:hAnsi="Times New Roman"/>
          <w:b/>
          <w:color w:val="000000"/>
        </w:rPr>
      </w:pPr>
      <w:r w:rsidRPr="00CE74AE">
        <w:rPr>
          <w:rFonts w:ascii="Times New Roman" w:eastAsia="Calibri" w:hAnsi="Times New Roman"/>
          <w:b/>
          <w:color w:val="000000"/>
        </w:rPr>
        <w:t>ИЗИСКВАНИЯ КЪМ ЛИЦАТА, АНГАЖИРАНИ В ИЗПЪЛНЕНИЕТО НА ДОГОВОРА</w:t>
      </w:r>
    </w:p>
    <w:p w14:paraId="693C3FF7"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 xml:space="preserve">При сервизното обслужване на лабораторните уреди, предмет на договора, Изпълнителят осигурява квалифициран персонал. </w:t>
      </w:r>
    </w:p>
    <w:p w14:paraId="476ED33A" w14:textId="77777777" w:rsidR="00171652" w:rsidRPr="00CE74AE" w:rsidRDefault="00171652" w:rsidP="00171652">
      <w:pPr>
        <w:keepNext/>
        <w:keepLines/>
        <w:numPr>
          <w:ilvl w:val="1"/>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lastRenderedPageBreak/>
        <w:t xml:space="preserve">В случай на промяна на лицата (персонала), ангажирани с изпълнението на дейностите по договора, посочени в представения от Изпълнителя списък в хода на процедурата, то той предварително писмено (по електронна поща) уведомява Възложителя за това обстоятелство. Към уведомлението Изпълнителят прилага нов списък, съдържащ следната информация за новите лица: </w:t>
      </w:r>
    </w:p>
    <w:p w14:paraId="01AA3283"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име и фамилия на сервизния инженер, както и образование (специалност, научна степен), професионална квалификация (завършено обучение, курсове и др.)</w:t>
      </w:r>
      <w:r w:rsidRPr="00CE74AE">
        <w:rPr>
          <w:rFonts w:ascii="Times New Roman" w:hAnsi="Times New Roman"/>
        </w:rPr>
        <w:t xml:space="preserve"> </w:t>
      </w:r>
      <w:r w:rsidRPr="00CE74AE">
        <w:rPr>
          <w:rFonts w:ascii="Times New Roman" w:eastAsia="Calibri" w:hAnsi="Times New Roman"/>
          <w:color w:val="000000"/>
        </w:rPr>
        <w:t>образование, професионална квалификация и професионален опит.</w:t>
      </w:r>
    </w:p>
    <w:p w14:paraId="79608847" w14:textId="77777777" w:rsidR="00171652" w:rsidRPr="00CE74AE" w:rsidRDefault="00171652" w:rsidP="00171652">
      <w:pPr>
        <w:keepNext/>
        <w:keepLines/>
        <w:numPr>
          <w:ilvl w:val="2"/>
          <w:numId w:val="5"/>
        </w:numPr>
        <w:tabs>
          <w:tab w:val="left" w:pos="426"/>
        </w:tabs>
        <w:suppressAutoHyphens/>
        <w:spacing w:after="0" w:line="240" w:lineRule="auto"/>
        <w:ind w:left="0" w:firstLine="0"/>
        <w:contextualSpacing/>
        <w:jc w:val="both"/>
        <w:rPr>
          <w:rFonts w:ascii="Times New Roman" w:eastAsia="Calibri" w:hAnsi="Times New Roman"/>
          <w:color w:val="000000"/>
        </w:rPr>
      </w:pPr>
      <w:r w:rsidRPr="00CE74AE">
        <w:rPr>
          <w:rFonts w:ascii="Times New Roman" w:eastAsia="Calibri" w:hAnsi="Times New Roman"/>
          <w:color w:val="000000"/>
        </w:rPr>
        <w:t>име и фамилия на служителя, който да имат опит в логистичната дейност по договора и/или да взема решения свързани с рекламации и други възникнали казуси.</w:t>
      </w:r>
    </w:p>
    <w:p w14:paraId="177E69B3" w14:textId="77777777" w:rsidR="00F14E8E" w:rsidRDefault="00F14E8E" w:rsidP="00171652">
      <w:pPr>
        <w:pStyle w:val="BodyTextIndent"/>
        <w:spacing w:after="0"/>
        <w:ind w:left="0"/>
        <w:jc w:val="both"/>
        <w:rPr>
          <w:rFonts w:ascii="Times New Roman" w:hAnsi="Times New Roman"/>
          <w:b/>
          <w:bCs/>
          <w:sz w:val="22"/>
          <w:szCs w:val="22"/>
          <w:lang w:val="bg-BG"/>
        </w:rPr>
      </w:pPr>
    </w:p>
    <w:sectPr w:rsidR="00F14E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82006"/>
    <w:multiLevelType w:val="hybridMultilevel"/>
    <w:tmpl w:val="834A209E"/>
    <w:lvl w:ilvl="0" w:tplc="0402000D">
      <w:start w:val="1"/>
      <w:numFmt w:val="bullet"/>
      <w:lvlText w:val=""/>
      <w:lvlJc w:val="left"/>
      <w:pPr>
        <w:ind w:left="720" w:hanging="360"/>
      </w:pPr>
      <w:rPr>
        <w:rFonts w:ascii="Wingdings" w:hAnsi="Wingding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D6A5470"/>
    <w:multiLevelType w:val="hybridMultilevel"/>
    <w:tmpl w:val="13F858B4"/>
    <w:lvl w:ilvl="0" w:tplc="231AFDF4">
      <w:start w:val="30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94D3629"/>
    <w:multiLevelType w:val="multilevel"/>
    <w:tmpl w:val="225434EC"/>
    <w:lvl w:ilvl="0">
      <w:start w:val="1"/>
      <w:numFmt w:val="decimal"/>
      <w:lvlText w:val="%1."/>
      <w:lvlJc w:val="left"/>
      <w:pPr>
        <w:tabs>
          <w:tab w:val="num" w:pos="720"/>
        </w:tabs>
        <w:ind w:left="720" w:hanging="720"/>
      </w:pPr>
      <w:rPr>
        <w:rFonts w:ascii="Bookman Old Style" w:hAnsi="Bookman Old Style" w:hint="default"/>
        <w:b/>
        <w:i w:val="0"/>
        <w:sz w:val="24"/>
      </w:rPr>
    </w:lvl>
    <w:lvl w:ilvl="1">
      <w:start w:val="1"/>
      <w:numFmt w:val="decimal"/>
      <w:lvlText w:val="%1.%2"/>
      <w:lvlJc w:val="left"/>
      <w:pPr>
        <w:tabs>
          <w:tab w:val="num" w:pos="720"/>
        </w:tabs>
        <w:ind w:left="720" w:hanging="720"/>
      </w:pPr>
      <w:rPr>
        <w:rFonts w:ascii="Times New Roman" w:hAnsi="Times New Roman" w:cs="Times New Roman" w:hint="default"/>
        <w:b/>
        <w:bCs/>
        <w:i w:val="0"/>
        <w:sz w:val="22"/>
        <w:szCs w:val="22"/>
      </w:rPr>
    </w:lvl>
    <w:lvl w:ilvl="2">
      <w:start w:val="1"/>
      <w:numFmt w:val="decimal"/>
      <w:lvlText w:val="%1.%2.%3"/>
      <w:lvlJc w:val="left"/>
      <w:pPr>
        <w:tabs>
          <w:tab w:val="num" w:pos="720"/>
        </w:tabs>
        <w:ind w:left="720" w:hanging="720"/>
      </w:pPr>
      <w:rPr>
        <w:rFonts w:ascii="Bookman Old Style" w:hAnsi="Bookman Old Style" w:hint="default"/>
        <w:b w:val="0"/>
        <w:i w:val="0"/>
        <w:sz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61293619"/>
    <w:multiLevelType w:val="hybridMultilevel"/>
    <w:tmpl w:val="E1A633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20664"/>
    <w:multiLevelType w:val="multilevel"/>
    <w:tmpl w:val="734814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973058">
    <w:abstractNumId w:val="3"/>
  </w:num>
  <w:num w:numId="2" w16cid:durableId="262539539">
    <w:abstractNumId w:val="0"/>
  </w:num>
  <w:num w:numId="3" w16cid:durableId="1825387961">
    <w:abstractNumId w:val="2"/>
  </w:num>
  <w:num w:numId="4" w16cid:durableId="1527712478">
    <w:abstractNumId w:val="1"/>
  </w:num>
  <w:num w:numId="5" w16cid:durableId="1625468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48"/>
    <w:rsid w:val="00147924"/>
    <w:rsid w:val="00171652"/>
    <w:rsid w:val="002048C0"/>
    <w:rsid w:val="00323748"/>
    <w:rsid w:val="00366618"/>
    <w:rsid w:val="00881229"/>
    <w:rsid w:val="009454EB"/>
    <w:rsid w:val="00A2690E"/>
    <w:rsid w:val="00AD1872"/>
    <w:rsid w:val="00F14E8E"/>
    <w:rsid w:val="00FC67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8065F"/>
  <w15:chartTrackingRefBased/>
  <w15:docId w15:val="{3D08F20C-FFBC-4F6D-87D4-74B7B4FF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454EB"/>
    <w:pPr>
      <w:spacing w:after="0" w:line="240" w:lineRule="auto"/>
    </w:pPr>
  </w:style>
  <w:style w:type="character" w:styleId="Hyperlink">
    <w:name w:val="Hyperlink"/>
    <w:uiPriority w:val="99"/>
    <w:rsid w:val="009454EB"/>
    <w:rPr>
      <w:color w:val="0563C1"/>
      <w:u w:val="single"/>
    </w:rPr>
  </w:style>
  <w:style w:type="paragraph" w:styleId="BodyTextIndent">
    <w:name w:val="Body Text Indent"/>
    <w:basedOn w:val="Normal"/>
    <w:link w:val="BodyTextIndentChar"/>
    <w:uiPriority w:val="99"/>
    <w:semiHidden/>
    <w:unhideWhenUsed/>
    <w:rsid w:val="00F14E8E"/>
    <w:pPr>
      <w:spacing w:after="120" w:line="240" w:lineRule="auto"/>
      <w:ind w:left="283"/>
    </w:pPr>
    <w:rPr>
      <w:rFonts w:ascii="Bookman Old Style" w:eastAsia="Times New Roman" w:hAnsi="Bookman Old Style" w:cs="Times New Roman"/>
      <w:sz w:val="24"/>
      <w:szCs w:val="24"/>
      <w:lang w:val="en-GB"/>
    </w:rPr>
  </w:style>
  <w:style w:type="character" w:customStyle="1" w:styleId="BodyTextIndentChar">
    <w:name w:val="Body Text Indent Char"/>
    <w:basedOn w:val="DefaultParagraphFont"/>
    <w:link w:val="BodyTextIndent"/>
    <w:uiPriority w:val="99"/>
    <w:semiHidden/>
    <w:rsid w:val="00F14E8E"/>
    <w:rPr>
      <w:rFonts w:ascii="Bookman Old Style" w:eastAsia="Times New Roman" w:hAnsi="Bookman Old Style"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1885</Words>
  <Characters>10749</Characters>
  <Application>Microsoft Office Word</Application>
  <DocSecurity>0</DocSecurity>
  <Lines>89</Lines>
  <Paragraphs>25</Paragraphs>
  <ScaleCrop>false</ScaleCrop>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Yakimova, Valeriya Radilova</dc:creator>
  <cp:keywords/>
  <dc:description/>
  <cp:lastModifiedBy>Yakimova, Valeriya Radilova</cp:lastModifiedBy>
  <cp:revision>8</cp:revision>
  <dcterms:created xsi:type="dcterms:W3CDTF">2023-08-17T08:09:00Z</dcterms:created>
  <dcterms:modified xsi:type="dcterms:W3CDTF">2026-10-22T07:16:00Z</dcterms:modified>
</cp:coreProperties>
</file>